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ARTHUR STERN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San Francisco, CA  |  artystern@gmail.com  |  (404) 372-0474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| 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Twitter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2" w:sz="6" w:val="single"/>
        </w:pBdr>
        <w:spacing w:after="4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264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Operator and co-founder with nearly a decade of experience building and scaling companies in high-growth environments. Generalist background spanning go-to-market strategy, operations, hiring, and client leadership — most recently scaling a marketing agency from zero to $8M in revenue and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0+ employees serving top-tier enterprise and crypto clients. Looking to bring operating experience to a Chief of Staff 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leadership role at a growth-stage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2" w:sz="6" w:val="single"/>
        </w:pBdr>
        <w:spacing w:after="4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after="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SCRIB3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080"/>
        </w:tabs>
        <w:spacing w:after="6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Board Member &amp; Advisor May 2026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0080"/>
        </w:tabs>
        <w:spacing w:after="6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Co-Founder &amp; COO Oct 2022 –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0" w:lineRule="auto"/>
        <w:rPr/>
      </w:pPr>
      <w:r w:rsidDel="00000000" w:rsidR="00000000" w:rsidRPr="00000000">
        <w:rPr>
          <w:rFonts w:ascii="Calibri" w:cs="Calibri" w:eastAsia="Calibri" w:hAnsi="Calibri"/>
          <w:i w:val="0"/>
          <w:iCs w:val="0"/>
          <w:sz w:val="20"/>
          <w:szCs w:val="20"/>
          <w:rtl w:val="0"/>
        </w:rPr>
        <w:t xml:space="preserve">Co-founded a marketing and communications agency for top-tier crypto and fintech clients. Scaled from zero to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20"/>
          <w:szCs w:val="20"/>
          <w:rtl w:val="0"/>
        </w:rPr>
        <w:t xml:space="preserve">0+ FTEs and $8M in annual revenue at 15–20% margins.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Built the company's operating system from scratch: hiring bar, culture program, performance evaluation frameworks, professional development tracks, and management cadences.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Scaled to ~100 people in the first 18 months, then deliberately consolidated to a 40-person team focused on enterprise accounts. Retained 80–90% of revenue while increasing project quality and team caliber.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Won and led accounts with Franklin Templeton, Solana, Avalanche, Polygon, and Canton. Differentiated from white-label competitors through custom programs and longer sales cycles that produced 1.5+ year client tenures versus an industry norm of 3–4 months.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Recruited and onboarded senior leadership, including the Chief Strategy Officer (now CEO), enabling the agency to compete against decades-old traditional firms for enterprise mandates.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Directly managed the accounts and operations teams through their first 2+ years before promoting internally and handing off to specialist leaders.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tl w:val="0"/>
        </w:rPr>
        <w:t xml:space="preserve">Launched and scaled three service lines — Creative (brand identity, campaigns), PR/Relations (Tier-1 media, podcasts, op-eds), and Digital (social, community, KOL management) — into a fully integrated agency offering.</w:t>
      </w:r>
    </w:p>
    <w:p w:rsidR="00000000" w:rsidDel="00000000" w:rsidP="00000000" w:rsidRDefault="00000000" w:rsidRPr="00000000" w14:paraId="00000011">
      <w:pPr>
        <w:tabs>
          <w:tab w:val="right" w:leader="none" w:pos="10080"/>
        </w:tabs>
        <w:spacing w:after="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Uber Freight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Chicago,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10080"/>
        </w:tabs>
        <w:spacing w:after="6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Senior Strategy &amp; Planning Associate Aug 2020 – Apr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" w:before="0" w:lineRule="auto"/>
        <w:rPr/>
      </w:pPr>
      <w:r w:rsidDel="00000000" w:rsidR="00000000" w:rsidRPr="00000000">
        <w:rPr>
          <w:rFonts w:ascii="Calibri" w:cs="Calibri" w:eastAsia="Calibri" w:hAnsi="Calibri"/>
          <w:i w:val="0"/>
          <w:iCs w:val="0"/>
          <w:sz w:val="20"/>
          <w:szCs w:val="20"/>
          <w:rtl w:val="0"/>
        </w:rPr>
        <w:t xml:space="preserve">Owned strategy for the Brokerage division on the Emerging Products team — GtM, sales pipeline, customer-facing negotiations, and product partnership.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and executed the GtM plan that grew the brokerage customer segment to $100M+ in annual revenue.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Mexico market expansion following the Transplace acquisition, integrating Uber Freight's offering into Transplace's workflow and unlocking $7.5M/month in incremental revenue via the Market Access product.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QBR reporting and ongoing analytics infrastructure for 10+ enterprise brokerage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Defined the strategy and early product requirements for a new horizontal SaaS product for shippers and brokers.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0080"/>
        </w:tabs>
        <w:spacing w:after="6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Senior Business Analyst Feb 2020 – Aug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Large Fleet strategy alongside Business Development, Product, and Operations; built the operational structure for the Committed Capacity product (~$180M run rate by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Drove enterprise sales engagements that converted large fleets onto Uber Freight's carrier products (Web Portal, Carrier API).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reporting dashboards in SQL and Python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used daily by a 200+ person team to drive transparency and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after="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Usit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Atlanta, 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after="60" w:before="2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Co-Founder &amp; CEO Oct 2015 – 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Co-founded and ran an on-demand babysitting marketplace connecting vetted college students with parents; operated across Atlanta, Tampa, and several Georgia metros. Owned finance, legal, marketing, and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2" w:sz="6" w:val="single"/>
        </w:pBdr>
        <w:spacing w:after="4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080"/>
        </w:tabs>
        <w:spacing w:after="0" w:before="80" w:line="264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Emory University — Goizueta Business School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B.B.A. in Business Strategy, Minor in Entrepreneurship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May 2017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arthur-stern-486a8855/" TargetMode="External"/><Relationship Id="rId8" Type="http://schemas.openxmlformats.org/officeDocument/2006/relationships/hyperlink" Target="https://x.com/arthur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KclTM6mnF/GqYduztyaqEr8Ww==">CgMxLjA4AHIhMWlCS2prMEZQeTdlcDAwYi11OHZPZlpmYUtDVW1LMjk1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